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3B35E" w14:textId="77777777" w:rsidR="00ED0AA2" w:rsidRPr="00431950" w:rsidRDefault="00431950">
      <w:pPr>
        <w:rPr>
          <w:sz w:val="40"/>
          <w:szCs w:val="40"/>
        </w:rPr>
      </w:pPr>
      <w:r w:rsidRPr="00431950">
        <w:rPr>
          <w:sz w:val="40"/>
          <w:szCs w:val="40"/>
        </w:rPr>
        <w:t>DIRETTORE DEI LAVORI E DELL’ESECUZIONE</w:t>
      </w:r>
    </w:p>
    <w:p w14:paraId="1264ECA7" w14:textId="77777777" w:rsidR="00431950" w:rsidRPr="00431950" w:rsidRDefault="00431950">
      <w:pPr>
        <w:rPr>
          <w:sz w:val="40"/>
          <w:szCs w:val="40"/>
        </w:rPr>
      </w:pPr>
      <w:r w:rsidRPr="00431950">
        <w:rPr>
          <w:sz w:val="40"/>
          <w:szCs w:val="40"/>
        </w:rPr>
        <w:t xml:space="preserve">decreto in Gazzetta. </w:t>
      </w:r>
    </w:p>
    <w:p w14:paraId="44D776E5" w14:textId="77777777" w:rsidR="00431950" w:rsidRDefault="00431950"/>
    <w:p w14:paraId="4029945A" w14:textId="146777B2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i/>
          <w:iCs/>
          <w:color w:val="000000"/>
          <w:sz w:val="27"/>
          <w:szCs w:val="27"/>
          <w:lang w:eastAsia="it-IT"/>
        </w:rPr>
        <w:t>Il decreto 49/2018 del MIT, pubblicato in GU e in vigore dal</w:t>
      </w:r>
      <w:bookmarkStart w:id="0" w:name="_GoBack"/>
      <w:bookmarkEnd w:id="0"/>
      <w:r w:rsidRPr="007D2B4E">
        <w:rPr>
          <w:rFonts w:ascii="Times" w:hAnsi="Times" w:cs="Times New Roman"/>
          <w:i/>
          <w:iCs/>
          <w:color w:val="000000"/>
          <w:sz w:val="27"/>
          <w:szCs w:val="27"/>
          <w:lang w:eastAsia="it-IT"/>
        </w:rPr>
        <w:t xml:space="preserve"> 30 maggio 2018, contiene le linee guida sulle modalità di svolgimento delle funzioni del direttore dei lavori e del direttore dell'esecuzione</w:t>
      </w:r>
    </w:p>
    <w:p w14:paraId="162D0F99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Il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hyperlink r:id="rId4" w:tgtFrame="_blank" w:history="1">
        <w:r w:rsidRPr="007D2B4E">
          <w:rPr>
            <w:rFonts w:ascii="Times" w:hAnsi="Times" w:cs="Times New Roman"/>
            <w:color w:val="0000FF"/>
            <w:sz w:val="27"/>
            <w:szCs w:val="27"/>
            <w:u w:val="single"/>
            <w:lang w:eastAsia="it-IT"/>
          </w:rPr>
          <w:t>decreto n.49/2018 del MIT, che regolamenta il ruolo del direttore dei lavori e del direttore dell'esecuzione</w:t>
        </w:r>
      </w:hyperlink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è stato pubblicato nella Gazzetta Ufficiale n.111 del 15 maggio ed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entrerà quindi in vigore 15 giorni dopo, ossia il 30 maggio 2018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: il testo definitivo tiene conto delle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hyperlink r:id="rId5" w:tgtFrame="_blank" w:history="1">
        <w:r w:rsidRPr="007D2B4E">
          <w:rPr>
            <w:rFonts w:ascii="Times" w:hAnsi="Times" w:cs="Times New Roman"/>
            <w:color w:val="0000FF"/>
            <w:sz w:val="27"/>
            <w:szCs w:val="27"/>
            <w:u w:val="single"/>
            <w:lang w:eastAsia="it-IT"/>
          </w:rPr>
          <w:t>osservazioni del Consiglio di Stato, del parere della commissione Ambiente della Camera e del lavoro tecnico in sede di Conferenza Unificata</w:t>
        </w:r>
      </w:hyperlink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59BC1E52" w14:textId="1B187E75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Presumibilmente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il decreto dovrebbe iniziare ad essere applicato ai contratti di appalto stipulati in dipendenza di ban</w:t>
      </w:r>
      <w:r w:rsidR="00AE12D4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di pubblicati successivamente al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 30 MAGGIO 2018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20E42368" w14:textId="73E8A8AE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Va sottolineato, quindi, che con </w:t>
      </w:r>
      <w:hyperlink r:id="rId6" w:tgtFrame="_blank" w:history="1">
        <w:r w:rsidRPr="007D2B4E">
          <w:rPr>
            <w:rFonts w:ascii="Times" w:hAnsi="Times" w:cs="Times New Roman"/>
            <w:color w:val="BF261C"/>
            <w:sz w:val="27"/>
            <w:szCs w:val="27"/>
            <w:u w:val="single"/>
            <w:lang w:eastAsia="it-IT"/>
          </w:rPr>
          <w:t>parere 360/2018</w:t>
        </w:r>
      </w:hyperlink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 del 12 febbraio scorso, il Consiglio di Stato aveva dato l'ok al DM sulle funzioni del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direttore dei lavori e del direttore dell'esecuzione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previsto dal nuovo Codice dei contratti, </w:t>
      </w:r>
      <w:hyperlink r:id="rId7" w:tgtFrame="_blank" w:history="1">
        <w:r w:rsidRPr="007D2B4E">
          <w:rPr>
            <w:rFonts w:ascii="Times" w:hAnsi="Times" w:cs="Times New Roman"/>
            <w:color w:val="BF261C"/>
            <w:sz w:val="27"/>
            <w:szCs w:val="27"/>
            <w:u w:val="single"/>
            <w:lang w:eastAsia="it-IT"/>
          </w:rPr>
          <w:t>chiedendo però </w:t>
        </w:r>
      </w:hyperlink>
      <w:hyperlink r:id="rId8" w:tgtFrame="_blank" w:history="1">
        <w:r w:rsidRPr="007D2B4E">
          <w:rPr>
            <w:rFonts w:ascii="Times" w:hAnsi="Times" w:cs="Times New Roman"/>
            <w:b/>
            <w:bCs/>
            <w:color w:val="BF261C"/>
            <w:sz w:val="27"/>
            <w:szCs w:val="27"/>
            <w:u w:val="single"/>
            <w:lang w:eastAsia="it-IT"/>
          </w:rPr>
          <w:t>maggiore chiarezza su alcuni aspetti fondamentali</w:t>
        </w:r>
      </w:hyperlink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 come i casi di incompatibilità e sui rapporti con il RUP </w:t>
      </w:r>
      <w:r w:rsidR="00AE12D4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(Responsabile Unico del Procedimento) 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e il coordinatore per la sicurezza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6B2F0AAB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Vediamo le disposizioni principali del decreto.</w:t>
      </w:r>
    </w:p>
    <w:p w14:paraId="06B943AD" w14:textId="77777777" w:rsidR="00431950" w:rsidRPr="007D2B4E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  <w:t>Nomina del Direttore Lavori: bando o affidamento diretto</w:t>
      </w:r>
    </w:p>
    <w:p w14:paraId="0C65F993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Non esistono più regole per la nomina del direttore dei lavori, che è disciplinata quindi solo dalle norme del Codice Appalti: l'111, comma 1 specifica che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la direzione dei lavori, quando non può essere espletata dalla stazione appaltante, è affidata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: ad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altre </w:t>
      </w:r>
      <w:proofErr w:type="spellStart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Pa</w:t>
      </w:r>
      <w:proofErr w:type="spellEnd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, al progettista incaricato o ad altri soggetti scelti con una gara secondo le disposizioni riguardanti gli affidamenti degli incarichi di progettazione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 Il conferimento dell’incarico deve avvenire secondo quanto indicato l'art. 31, comma 8, del Codice degli Appalti, vale a dire con una gara pubblica.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Si può invece fare ricorso all'affidamento diretto se l'incarico è di importo pari o inferiore a 40 mila euro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3F2438F2" w14:textId="77777777" w:rsidR="00431950" w:rsidRPr="007D2B4E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  <w:t>I requisiti del DL</w:t>
      </w:r>
    </w:p>
    <w:p w14:paraId="6BA96CC2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Vale quanto disposto dall'art.24, comma 5 del Codice, secondo cui, indipendentemente dalla natura giuridica dell'affidatario,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l'incarico deve essere espletato da professionisti iscritti negli appositi albi previsti dai vigenti ordinamenti professionali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muniti dei requisiti di ordine generale di cui all'art.80 del d.lgs.50/2016, e dei</w:t>
      </w:r>
      <w:r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requisiti di qualificazione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fissati con decreto del MIT 2 dicembre 2016, n. 263.</w:t>
      </w:r>
    </w:p>
    <w:p w14:paraId="5DBE4E4E" w14:textId="77777777" w:rsidR="00431950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  <w:lastRenderedPageBreak/>
        <w:t>Incompatibilità</w:t>
      </w:r>
    </w:p>
    <w:p w14:paraId="68CEDBAD" w14:textId="77777777" w:rsidR="00431950" w:rsidRPr="007D2B4E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Nel nuovo testo sono state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cancellate anche cancellate le indicazioni relative ai requisiti di non-compatibilità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 Il direttore dei lavori infatti nella versione precedente non poteva accettare nuovi incarichi professionali da parte dell'esecutore dall'aggiudicazione fino al collaudo e doveva segnalare all'amministrazione, non appena conosciuta l'identità dell’affidatario, l'esistenza di eventuali rapporti, per valutare eventuali conflitti di interesse.</w:t>
      </w:r>
    </w:p>
    <w:p w14:paraId="62CE77C7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Questo aspetto è ora assorbito dalla regola generale dell'art.42 del Codice degli Appalti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 Di fatto, anche rispetto alla figura del direttore dei lavori, si applica l'art. 53, comma 16-ter, del d.lgs. 165/2001, per cui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gli ex dipendenti pubblici che, negli ultimi tre anni di servizio, hanno esercitato poteri autoritativi o negoziali per conto di una PA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non possono svolgere, nei tre anni successivi alla cessazione del rapporto di pubblico impiego, attività lavorativa o professionale per conto dei soggetti privati destinatari dell'attività della PA svolta con tali poteri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25D5F7C5" w14:textId="77777777" w:rsidR="00431950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  <w:t>Rapporti col RUP e altre figure</w:t>
      </w:r>
    </w:p>
    <w:p w14:paraId="1C8EF851" w14:textId="77777777" w:rsidR="00431950" w:rsidRPr="007D2B4E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Il DL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riceve dal </w:t>
      </w:r>
      <w:proofErr w:type="spellStart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Rup</w:t>
      </w:r>
      <w:proofErr w:type="spellEnd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 le disposizioni di servizio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del nuovo provvedimento (atti mediante i quali il </w:t>
      </w:r>
      <w:proofErr w:type="spellStart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Rup</w:t>
      </w:r>
      <w:proofErr w:type="spellEnd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impartisce indicazioni al direttore dei lavori ed al coordinatore per l'esecuzione) con cui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lo stesso responsabile del procedimento detta le indicazioni per garantire la regolarità dei lavori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fissa l'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ordine da seguire nella loro esecuzione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quando questo non sia regolato dal contratto, 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stabilisce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in relazione all'importanza dei lavori, la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periodicità con cui il direttore dei lavori è tenuto a presentare rapporto sulle principali attività di cantiere e sull'andamento delle </w:t>
      </w:r>
      <w:proofErr w:type="spellStart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lavorazioni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.Resta</w:t>
      </w:r>
      <w:proofErr w:type="spellEnd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inoltre di competenza del direttore dei lavori l'emanazione di ordini di servizio all'esecutore sugli aspetti tecnici ed economici della gestione dell'</w:t>
      </w:r>
      <w:proofErr w:type="spellStart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appalto.In</w:t>
      </w:r>
      <w:proofErr w:type="spellEnd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ogni caso, come chiarito dall'art.2, comma 2 del decreto,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il direttore dei lavori opera in completa autonomia rispetto al controllo tecnico, contabile e amministrativo del contratto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, essendo questo il compito principale assegnatogli dell'art.101, comma 3 del Codice </w:t>
      </w:r>
      <w:proofErr w:type="spellStart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Appalti.Stessa</w:t>
      </w:r>
      <w:proofErr w:type="spellEnd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autonomia vale per il direttore dell'esecuzione, sempre che non coincida con il direttore dei lavori. Il direttore dell'esecuzione è infatti responsabile per le funzioni stabilite dalla normativa sulla sicurezza.</w:t>
      </w:r>
    </w:p>
    <w:p w14:paraId="33D8F44C" w14:textId="77777777" w:rsidR="00431950" w:rsidRPr="007D2B4E" w:rsidRDefault="00431950" w:rsidP="00431950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</w:pPr>
      <w:r w:rsidRPr="007D2B4E">
        <w:rPr>
          <w:rFonts w:ascii="Times" w:eastAsia="Times New Roman" w:hAnsi="Times" w:cs="Times New Roman"/>
          <w:b/>
          <w:bCs/>
          <w:color w:val="000000"/>
          <w:sz w:val="27"/>
          <w:szCs w:val="27"/>
          <w:lang w:eastAsia="it-IT"/>
        </w:rPr>
        <w:t>Strumenti per l'esercizio dell'attività di direzione e controllo </w:t>
      </w:r>
      <w:r w:rsidRPr="007D2B4E">
        <w:rPr>
          <w:rFonts w:ascii="Georgia" w:eastAsia="Times New Roman" w:hAnsi="Georgia" w:cs="Times New Roman"/>
          <w:color w:val="1A171B"/>
          <w:sz w:val="27"/>
          <w:szCs w:val="27"/>
          <w:shd w:val="clear" w:color="auto" w:fill="F3E2D1"/>
          <w:lang w:eastAsia="it-IT"/>
        </w:rPr>
        <w:br/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L'art.1, comma 1, lettera d) del decreto fornisce la definizione di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ordine di servizio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cioè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l'atto mediante il quale il </w:t>
      </w:r>
      <w:proofErr w:type="spellStart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Rup</w:t>
      </w:r>
      <w:proofErr w:type="spellEnd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 e il direttore dei lavori impartiscono all'esecutore tutte le disposizioni ed istruzioni operative in ordine all'esecuzione delle prestazioni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2520DC48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Pertanto, come confermato dall'art.2,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il direttore dei lavori impartisce all'esecutore tutte le disposizioni ed istruzioni operative necessarie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tramite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 xml:space="preserve">ordini di servizio comunicati al </w:t>
      </w:r>
      <w:proofErr w:type="spellStart"/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Rup</w:t>
      </w:r>
      <w:proofErr w:type="spellEnd"/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nonché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annotati, con sintetiche motivazioni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(che riportano le ragioni tecniche e le finalità perseguite in base all'ordine)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sul giornale dei lavori, con le modalità elettroniche contemplate dallo stesso decreto in materia di contabilità.</w:t>
      </w:r>
    </w:p>
    <w:p w14:paraId="78AF735F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lastRenderedPageBreak/>
        <w:t>Le amministrazioni, quindi, dovranno dotarsi dei necessari strumenti informatici, ma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nel frattempo gli ordini di servizio dovranno - come in passato - avere forma scritta e dovranno essere restituiti firmati dall'appaltatore per avvenuta conoscenza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7DE9ECB5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L'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esecutore è comunque tenuto a uniformarsi alle disposizioni contenute negli ordini di servizio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fatta salva la sua facoltà di iscrivere riserve. Attenzione però: la disciplina delle riserve sarà affidata alle stazioni appaltanti, come previsto dall'art. 9 del decreto stesso.</w:t>
      </w:r>
    </w:p>
    <w:p w14:paraId="122ADCDC" w14:textId="77777777" w:rsidR="00431950" w:rsidRPr="007D2B4E" w:rsidRDefault="00431950" w:rsidP="00431950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  <w:lang w:eastAsia="it-IT"/>
        </w:rPr>
      </w:pP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Il direttore dei lavori deve anche c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ontrollare il rispetto dei tempi di esecuzione dei lavori indicati nel cronoprogramma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, dettagliandoli poi nel programma di esecuzione, definito dall'art. 1, comma 1, lettera f), del decreto ministeriale come il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documento che l'esecutore, in coerenza con il cronoprogramma predisposto dalla PA, con l'offerta tecnica presentata in gara e con le obbligazioni contrattuali, deve presentare prima dell'inizio dei lavori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 In tale cronoprogramma devono essere</w:t>
      </w:r>
      <w:r>
        <w:rPr>
          <w:rFonts w:ascii="Times" w:hAnsi="Times" w:cs="Times New Roman"/>
          <w:color w:val="000000"/>
          <w:sz w:val="27"/>
          <w:szCs w:val="27"/>
          <w:lang w:eastAsia="it-IT"/>
        </w:rPr>
        <w:t xml:space="preserve"> 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graficamente rappresentate, per ogni lavorazione, le previsioni sul periodo di esecuzione, e sull'ammontare presunto, parziale e progressivo, dell'avanzamento dei lavori alle scadenze determinate contrattualmente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per la</w:t>
      </w:r>
      <w:r w:rsidRPr="007D2B4E">
        <w:rPr>
          <w:rFonts w:ascii="Times" w:hAnsi="Times" w:cs="Times New Roman"/>
          <w:color w:val="000000"/>
          <w:sz w:val="20"/>
          <w:szCs w:val="20"/>
          <w:lang w:eastAsia="it-IT"/>
        </w:rPr>
        <w:t> </w:t>
      </w:r>
      <w:r w:rsidRPr="007D2B4E">
        <w:rPr>
          <w:rFonts w:ascii="Times" w:hAnsi="Times" w:cs="Times New Roman"/>
          <w:b/>
          <w:bCs/>
          <w:color w:val="000000"/>
          <w:sz w:val="27"/>
          <w:szCs w:val="27"/>
          <w:lang w:eastAsia="it-IT"/>
        </w:rPr>
        <w:t>liquidazione dei certificati di pagamento</w:t>
      </w:r>
      <w:r w:rsidRPr="007D2B4E">
        <w:rPr>
          <w:rFonts w:ascii="Times" w:hAnsi="Times" w:cs="Times New Roman"/>
          <w:color w:val="000000"/>
          <w:sz w:val="27"/>
          <w:szCs w:val="27"/>
          <w:lang w:eastAsia="it-IT"/>
        </w:rPr>
        <w:t>.</w:t>
      </w:r>
    </w:p>
    <w:p w14:paraId="11679634" w14:textId="77777777" w:rsidR="00431950" w:rsidRDefault="00431950"/>
    <w:sectPr w:rsidR="00431950" w:rsidSect="00ED0AA2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950"/>
    <w:rsid w:val="00431950"/>
    <w:rsid w:val="00583052"/>
    <w:rsid w:val="0062676F"/>
    <w:rsid w:val="009F1C17"/>
    <w:rsid w:val="00AE12D4"/>
    <w:rsid w:val="00B71A1A"/>
    <w:rsid w:val="00D923A0"/>
    <w:rsid w:val="00ED0A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A41BB6"/>
  <w15:docId w15:val="{8DC0D359-8B6E-EE4A-995C-DAFA754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genio-web.it/18955-direttore-dei-lavori-ok-del-consiglio-di-stato-con-indicazioni-importan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genio-web.it/18955-direttore-dei-lavori-ok-del-consiglio-di-stato-con-indicazioni-important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iustizia-amministrativa.it/cdsintra/wcm/idc/groups/public/documents/document/mday/njg3/~edisp/nsiga_4578815.pdf" TargetMode="External"/><Relationship Id="rId5" Type="http://schemas.openxmlformats.org/officeDocument/2006/relationships/hyperlink" Target="https://www.ingenio-web.it/19902-direttore-dei-lavori-ok-della-corte-dei-conti-decreto-verso-la-gazzetta-ufficial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azzettaufficiale.it/eli/id/2018/05/15/18G00074/s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1126</Words>
  <Characters>6420</Characters>
  <Application>Microsoft Office Word</Application>
  <DocSecurity>0</DocSecurity>
  <Lines>53</Lines>
  <Paragraphs>15</Paragraphs>
  <ScaleCrop>false</ScaleCrop>
  <Company>Riberalegno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Almerico Ribera</dc:creator>
  <cp:keywords/>
  <dc:description/>
  <cp:lastModifiedBy>Almerico Ribera</cp:lastModifiedBy>
  <cp:revision>6</cp:revision>
  <dcterms:created xsi:type="dcterms:W3CDTF">2018-05-17T09:01:00Z</dcterms:created>
  <dcterms:modified xsi:type="dcterms:W3CDTF">2019-03-12T15:55:00Z</dcterms:modified>
</cp:coreProperties>
</file>